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3232B1" w:rsidRPr="009940D7">
        <w:t>30</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Pr="009940D7" w:rsidRDefault="00673B04" w:rsidP="003030B3">
      <w:pPr>
        <w:ind w:firstLine="567"/>
        <w:jc w:val="both"/>
      </w:pPr>
      <w:r w:rsidRPr="00B03D8C">
        <w:t xml:space="preserve">2.3. Оплата по </w:t>
      </w:r>
      <w:r>
        <w:t>договор</w:t>
      </w:r>
      <w:r w:rsidRPr="00B03D8C">
        <w:t xml:space="preserve">у осуществляется из средств </w:t>
      </w:r>
      <w:r>
        <w:t>бюджетного учреждения</w:t>
      </w:r>
      <w:r w:rsidRPr="00B03D8C">
        <w:t xml:space="preserve"> </w:t>
      </w:r>
      <w:r>
        <w:br/>
      </w:r>
      <w:r w:rsidRPr="00B03D8C">
        <w:t xml:space="preserve">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 xml:space="preserve">должен составлять не более 7 рабочих дней по реквизитам, указанным в </w:t>
      </w:r>
      <w:r>
        <w:t>договор</w:t>
      </w:r>
      <w:r w:rsidRPr="004F55AD">
        <w:t>е</w:t>
      </w:r>
      <w:r w:rsidR="004F55AD"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5B2141">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B1695" w:rsidRPr="009940D7" w:rsidRDefault="005B1695" w:rsidP="005B169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D9483B" w:rsidRPr="009940D7" w:rsidRDefault="00D9483B" w:rsidP="00D9483B">
      <w:pPr>
        <w:ind w:firstLine="540"/>
        <w:jc w:val="both"/>
      </w:pPr>
      <w:r w:rsidRPr="009940D7">
        <w:t>6.</w:t>
      </w:r>
      <w:r w:rsidR="005B1695">
        <w:t>3</w:t>
      </w:r>
      <w:r w:rsidRPr="009940D7">
        <w:t xml:space="preserve">. При нарушении Поставщиком сроков поставки Товара он обязан уплатить Заказчику неустойку (пеню) из расчета одной трехсотой действующей на день уплаты </w:t>
      </w:r>
      <w:r w:rsidRPr="009940D7">
        <w:lastRenderedPageBreak/>
        <w:t>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t>6.</w:t>
      </w:r>
      <w:r w:rsidR="005B1695">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w:t>
      </w:r>
      <w:r w:rsidR="005B1695">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w:t>
      </w:r>
      <w:r w:rsidR="005B1695">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w:t>
      </w:r>
      <w:r w:rsidR="005B1695">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w:t>
      </w:r>
      <w:r w:rsidRPr="009940D7">
        <w:lastRenderedPageBreak/>
        <w:t>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5B2141" w:rsidRPr="009940D7">
        <w:t>на ___ с.</w:t>
      </w:r>
      <w:r w:rsidR="005B2141">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lastRenderedPageBreak/>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907F18" w:rsidRPr="009940D7" w:rsidRDefault="00907F18" w:rsidP="00A5648D">
      <w:pPr>
        <w:ind w:firstLine="567"/>
        <w:jc w:val="both"/>
      </w:pP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Pr="009940D7" w:rsidRDefault="006852E5" w:rsidP="00907F18">
      <w:pPr>
        <w:ind w:firstLine="567"/>
        <w:jc w:val="both"/>
      </w:pPr>
      <w:r w:rsidRPr="009940D7">
        <w:t>10</w:t>
      </w:r>
      <w:r w:rsidR="00907F18" w:rsidRPr="009940D7">
        <w:t>.</w:t>
      </w:r>
      <w:r w:rsidR="005B2141">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2E5AC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t>ИНН 3444049170, КПП 344401001, ОГРН 1023403440818</w:t>
      </w:r>
    </w:p>
    <w:p w:rsidR="00DF615C" w:rsidRPr="009940D7" w:rsidRDefault="00DF615C" w:rsidP="00DF615C">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DF615C" w:rsidRPr="009940D7" w:rsidRDefault="00DF615C" w:rsidP="00DF615C">
      <w:pPr>
        <w:suppressAutoHyphens/>
        <w:rPr>
          <w:lang w:eastAsia="zh-CN"/>
        </w:rPr>
      </w:pPr>
      <w:r w:rsidRPr="009940D7">
        <w:rPr>
          <w:lang w:eastAsia="zh-CN"/>
        </w:rPr>
        <w:t>Банк получателя: Отделении Волгоград Банка России // УФК по Волгоградской области г</w:t>
      </w:r>
      <w:proofErr w:type="gramStart"/>
      <w:r w:rsidRPr="009940D7">
        <w:rPr>
          <w:lang w:eastAsia="zh-CN"/>
        </w:rPr>
        <w:t>.В</w:t>
      </w:r>
      <w:proofErr w:type="gramEnd"/>
      <w:r w:rsidRPr="009940D7">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r w:rsidR="006C2EEB">
        <w:t>___, электронная почта 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EF5858" w:rsidRDefault="00EF5858" w:rsidP="000D45A2">
      <w:pPr>
        <w:rPr>
          <w:rFonts w:eastAsia="MS Mincho"/>
        </w:rPr>
      </w:pPr>
    </w:p>
    <w:p w:rsidR="00EF5858" w:rsidRPr="009940D7" w:rsidRDefault="00EF5858" w:rsidP="000D45A2">
      <w:pPr>
        <w:rPr>
          <w:rFonts w:eastAsia="MS Mincho"/>
        </w:rPr>
      </w:pPr>
    </w:p>
    <w:tbl>
      <w:tblPr>
        <w:tblW w:w="0" w:type="auto"/>
        <w:jc w:val="center"/>
        <w:tblInd w:w="108" w:type="dxa"/>
        <w:tblLayout w:type="fixed"/>
        <w:tblLook w:val="0000"/>
      </w:tblPr>
      <w:tblGrid>
        <w:gridCol w:w="4428"/>
        <w:gridCol w:w="4243"/>
      </w:tblGrid>
      <w:tr w:rsidR="00EF5858" w:rsidTr="00056CB1">
        <w:trPr>
          <w:jc w:val="center"/>
        </w:trPr>
        <w:tc>
          <w:tcPr>
            <w:tcW w:w="4428" w:type="dxa"/>
            <w:shd w:val="clear" w:color="auto" w:fill="auto"/>
          </w:tcPr>
          <w:p w:rsidR="00EF5858" w:rsidRDefault="00EF5858" w:rsidP="00056CB1">
            <w:pPr>
              <w:widowControl w:val="0"/>
              <w:adjustRightInd w:val="0"/>
              <w:jc w:val="center"/>
              <w:rPr>
                <w:b/>
                <w:u w:val="single"/>
              </w:rPr>
            </w:pPr>
            <w:r w:rsidRPr="00680B57">
              <w:rPr>
                <w:b/>
                <w:u w:val="single"/>
              </w:rPr>
              <w:t>Заказчик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B14BEA" w:rsidRDefault="00EF5858" w:rsidP="00056CB1">
            <w:pPr>
              <w:widowControl w:val="0"/>
              <w:adjustRightInd w:val="0"/>
              <w:jc w:val="center"/>
              <w:rPr>
                <w:bCs/>
              </w:rPr>
            </w:pPr>
            <w:r w:rsidRPr="00B14BEA">
              <w:rPr>
                <w:bCs/>
              </w:rPr>
              <w:t>«___» _________ 202__ г</w:t>
            </w:r>
          </w:p>
        </w:tc>
        <w:tc>
          <w:tcPr>
            <w:tcW w:w="4243" w:type="dxa"/>
            <w:shd w:val="clear" w:color="auto" w:fill="auto"/>
          </w:tcPr>
          <w:p w:rsidR="00EF5858" w:rsidRDefault="00EF5858" w:rsidP="00056CB1">
            <w:pPr>
              <w:pStyle w:val="ad"/>
              <w:rPr>
                <w:bCs w:val="0"/>
              </w:rPr>
            </w:pPr>
            <w:r>
              <w:rPr>
                <w:bCs w:val="0"/>
                <w:u w:val="single"/>
              </w:rPr>
              <w:t>Поставщик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504FE8" w:rsidRDefault="00EF5858" w:rsidP="00056CB1">
            <w:pPr>
              <w:pStyle w:val="ad"/>
              <w:rPr>
                <w:b w:val="0"/>
              </w:rPr>
            </w:pPr>
            <w:r w:rsidRPr="00504FE8">
              <w:rPr>
                <w:b w:val="0"/>
                <w:bCs w:val="0"/>
              </w:rPr>
              <w:t>«___» _________ 202__ г</w:t>
            </w:r>
          </w:p>
        </w:tc>
      </w:tr>
      <w:tr w:rsidR="00EF5858" w:rsidRPr="00633A58" w:rsidTr="00056CB1">
        <w:trPr>
          <w:jc w:val="center"/>
        </w:trPr>
        <w:tc>
          <w:tcPr>
            <w:tcW w:w="4428" w:type="dxa"/>
            <w:shd w:val="clear" w:color="auto" w:fill="auto"/>
          </w:tcPr>
          <w:p w:rsidR="00EF5858" w:rsidRPr="00633A58" w:rsidRDefault="00EF5858" w:rsidP="00056CB1">
            <w:pPr>
              <w:pStyle w:val="ad"/>
              <w:jc w:val="left"/>
              <w:rPr>
                <w:b w:val="0"/>
              </w:rPr>
            </w:pPr>
            <w:r w:rsidRPr="00633A58">
              <w:rPr>
                <w:b w:val="0"/>
              </w:rPr>
              <w:t>м.п.</w:t>
            </w:r>
          </w:p>
        </w:tc>
        <w:tc>
          <w:tcPr>
            <w:tcW w:w="4243" w:type="dxa"/>
            <w:shd w:val="clear" w:color="auto" w:fill="auto"/>
          </w:tcPr>
          <w:p w:rsidR="00EF5858" w:rsidRPr="00633A58" w:rsidRDefault="00EF5858" w:rsidP="00056CB1">
            <w:pPr>
              <w:pStyle w:val="ad"/>
              <w:jc w:val="left"/>
              <w:rPr>
                <w:b w:val="0"/>
              </w:rPr>
            </w:pPr>
            <w:r w:rsidRPr="00633A58">
              <w:rPr>
                <w:b w:val="0"/>
              </w:rPr>
              <w:t>м.п.</w:t>
            </w:r>
          </w:p>
        </w:tc>
      </w:tr>
    </w:tbl>
    <w:p w:rsidR="00907F18" w:rsidRPr="009940D7" w:rsidRDefault="00907F18"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EF5858" w:rsidRPr="009940D7" w:rsidRDefault="00EF5858" w:rsidP="00763152"/>
    <w:tbl>
      <w:tblPr>
        <w:tblW w:w="0" w:type="auto"/>
        <w:jc w:val="center"/>
        <w:tblInd w:w="108" w:type="dxa"/>
        <w:tblLayout w:type="fixed"/>
        <w:tblLook w:val="0000"/>
      </w:tblPr>
      <w:tblGrid>
        <w:gridCol w:w="4428"/>
        <w:gridCol w:w="4243"/>
      </w:tblGrid>
      <w:tr w:rsidR="00EF5858" w:rsidTr="00056CB1">
        <w:trPr>
          <w:jc w:val="center"/>
        </w:trPr>
        <w:tc>
          <w:tcPr>
            <w:tcW w:w="4428" w:type="dxa"/>
            <w:shd w:val="clear" w:color="auto" w:fill="auto"/>
          </w:tcPr>
          <w:p w:rsidR="00EF5858" w:rsidRDefault="00EF5858" w:rsidP="00056CB1">
            <w:pPr>
              <w:widowControl w:val="0"/>
              <w:adjustRightInd w:val="0"/>
              <w:jc w:val="center"/>
              <w:rPr>
                <w:b/>
                <w:u w:val="single"/>
              </w:rPr>
            </w:pPr>
            <w:r w:rsidRPr="00680B57">
              <w:rPr>
                <w:b/>
                <w:u w:val="single"/>
              </w:rPr>
              <w:t>Заказчик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B14BEA" w:rsidRDefault="00EF5858" w:rsidP="00056CB1">
            <w:pPr>
              <w:widowControl w:val="0"/>
              <w:adjustRightInd w:val="0"/>
              <w:jc w:val="center"/>
              <w:rPr>
                <w:bCs/>
              </w:rPr>
            </w:pPr>
            <w:r w:rsidRPr="00B14BEA">
              <w:rPr>
                <w:bCs/>
              </w:rPr>
              <w:t>«___» _________ 202__ г</w:t>
            </w:r>
          </w:p>
        </w:tc>
        <w:tc>
          <w:tcPr>
            <w:tcW w:w="4243" w:type="dxa"/>
            <w:shd w:val="clear" w:color="auto" w:fill="auto"/>
          </w:tcPr>
          <w:p w:rsidR="00EF5858" w:rsidRDefault="00EF5858" w:rsidP="00056CB1">
            <w:pPr>
              <w:pStyle w:val="ad"/>
              <w:rPr>
                <w:bCs w:val="0"/>
              </w:rPr>
            </w:pPr>
            <w:r>
              <w:rPr>
                <w:bCs w:val="0"/>
                <w:u w:val="single"/>
              </w:rPr>
              <w:t>Поставщик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504FE8" w:rsidRDefault="00EF5858" w:rsidP="00056CB1">
            <w:pPr>
              <w:pStyle w:val="ad"/>
              <w:rPr>
                <w:b w:val="0"/>
              </w:rPr>
            </w:pPr>
            <w:r w:rsidRPr="00504FE8">
              <w:rPr>
                <w:b w:val="0"/>
                <w:bCs w:val="0"/>
              </w:rPr>
              <w:t>«___» _________ 202__ г</w:t>
            </w:r>
          </w:p>
        </w:tc>
      </w:tr>
      <w:tr w:rsidR="00EF5858" w:rsidRPr="00633A58" w:rsidTr="00056CB1">
        <w:trPr>
          <w:jc w:val="center"/>
        </w:trPr>
        <w:tc>
          <w:tcPr>
            <w:tcW w:w="4428" w:type="dxa"/>
            <w:shd w:val="clear" w:color="auto" w:fill="auto"/>
          </w:tcPr>
          <w:p w:rsidR="00EF5858" w:rsidRPr="00633A58" w:rsidRDefault="00EF5858" w:rsidP="00056CB1">
            <w:pPr>
              <w:pStyle w:val="ad"/>
              <w:jc w:val="left"/>
              <w:rPr>
                <w:b w:val="0"/>
              </w:rPr>
            </w:pPr>
            <w:r w:rsidRPr="00633A58">
              <w:rPr>
                <w:b w:val="0"/>
              </w:rPr>
              <w:t>м.п.</w:t>
            </w:r>
          </w:p>
        </w:tc>
        <w:tc>
          <w:tcPr>
            <w:tcW w:w="4243" w:type="dxa"/>
            <w:shd w:val="clear" w:color="auto" w:fill="auto"/>
          </w:tcPr>
          <w:p w:rsidR="00EF5858" w:rsidRPr="00633A58" w:rsidRDefault="00EF5858" w:rsidP="00056CB1">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D2A" w:rsidRDefault="00C21D2A">
      <w:r>
        <w:separator/>
      </w:r>
    </w:p>
  </w:endnote>
  <w:endnote w:type="continuationSeparator" w:id="0">
    <w:p w:rsidR="00C21D2A" w:rsidRDefault="00C21D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D2A" w:rsidRDefault="00C21D2A">
      <w:r>
        <w:separator/>
      </w:r>
    </w:p>
  </w:footnote>
  <w:footnote w:type="continuationSeparator" w:id="0">
    <w:p w:rsidR="00C21D2A" w:rsidRDefault="00C21D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DD16E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DD16E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6C2EEB">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86430"/>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05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C1"/>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695"/>
    <w:rsid w:val="005B1D64"/>
    <w:rsid w:val="005B2141"/>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2EEB"/>
    <w:rsid w:val="006C358F"/>
    <w:rsid w:val="006C3FC0"/>
    <w:rsid w:val="006C4255"/>
    <w:rsid w:val="006C66F9"/>
    <w:rsid w:val="006D0497"/>
    <w:rsid w:val="006D07FB"/>
    <w:rsid w:val="006D089A"/>
    <w:rsid w:val="006D0E78"/>
    <w:rsid w:val="006D38DB"/>
    <w:rsid w:val="006D3BB7"/>
    <w:rsid w:val="006D74CD"/>
    <w:rsid w:val="006D7F92"/>
    <w:rsid w:val="006E1309"/>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2D"/>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1D2A"/>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6EE"/>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840"/>
    <w:rsid w:val="00EC6F1E"/>
    <w:rsid w:val="00EC726D"/>
    <w:rsid w:val="00ED0D34"/>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858"/>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iCs/>
      <w:u w:val="single"/>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u w:val="single"/>
      <w:lang w:eastAsia="ar-SA"/>
    </w:rPr>
  </w:style>
  <w:style w:type="character" w:customStyle="1" w:styleId="aff2">
    <w:name w:val="Символ сноски"/>
    <w:basedOn w:val="18"/>
    <w:rsid w:val="00A7112D"/>
    <w:rPr>
      <w:vertAlign w:val="superscript"/>
    </w:rPr>
  </w:style>
  <w:style w:type="paragraph" w:customStyle="1"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basedOn w:val="a0"/>
    <w:qFormat/>
    <w:rsid w:val="0067748B"/>
    <w:rPr>
      <w:i/>
      <w:iCs/>
    </w:rPr>
  </w:style>
  <w:style w:type="character" w:customStyle="1" w:styleId="afff1">
    <w:name w:val="Без интервала Знак"/>
    <w:basedOn w:val="a0"/>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2387</Words>
  <Characters>13608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15964</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15</cp:revision>
  <cp:lastPrinted>2024-07-11T08:33:00Z</cp:lastPrinted>
  <dcterms:created xsi:type="dcterms:W3CDTF">2024-07-11T09:21:00Z</dcterms:created>
  <dcterms:modified xsi:type="dcterms:W3CDTF">2025-01-14T13:06:00Z</dcterms:modified>
</cp:coreProperties>
</file>